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D1" w:rsidRDefault="00C709D1" w:rsidP="00C709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303E" w:rsidRPr="004C4E35" w:rsidRDefault="00C709D1" w:rsidP="003430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09F6">
        <w:rPr>
          <w:rFonts w:ascii="Times New Roman" w:hAnsi="Times New Roman"/>
          <w:b/>
          <w:sz w:val="24"/>
          <w:szCs w:val="24"/>
        </w:rPr>
        <w:t xml:space="preserve">  </w:t>
      </w:r>
    </w:p>
    <w:p w:rsidR="00F74EA9" w:rsidRDefault="00F74EA9" w:rsidP="00F74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ORGANİZASYON</w:t>
      </w:r>
      <w:r w:rsidRPr="00F32AF5">
        <w:rPr>
          <w:rFonts w:ascii="Times New Roman" w:hAnsi="Times New Roman"/>
          <w:b/>
          <w:sz w:val="24"/>
          <w:szCs w:val="24"/>
        </w:rPr>
        <w:t>DAKİ YERİ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32AF5">
        <w:rPr>
          <w:rFonts w:ascii="Times New Roman" w:hAnsi="Times New Roman"/>
          <w:b/>
          <w:sz w:val="24"/>
          <w:szCs w:val="24"/>
        </w:rPr>
        <w:t xml:space="preserve">: </w:t>
      </w:r>
      <w:r w:rsidRPr="00F32AF5">
        <w:rPr>
          <w:rFonts w:ascii="Times New Roman" w:hAnsi="Times New Roman"/>
          <w:sz w:val="24"/>
          <w:szCs w:val="24"/>
        </w:rPr>
        <w:t>Genel Sekreter</w:t>
      </w:r>
      <w:r>
        <w:rPr>
          <w:rFonts w:ascii="Times New Roman" w:hAnsi="Times New Roman"/>
          <w:sz w:val="24"/>
          <w:szCs w:val="24"/>
        </w:rPr>
        <w:t>e bağlı olarak görev yapar.</w:t>
      </w:r>
    </w:p>
    <w:p w:rsidR="0050106F" w:rsidRDefault="0050106F" w:rsidP="0050106F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VEKALET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EDECEK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50092">
        <w:rPr>
          <w:rFonts w:ascii="Times New Roman" w:hAnsi="Times New Roman"/>
          <w:sz w:val="24"/>
          <w:szCs w:val="24"/>
        </w:rPr>
        <w:t>Şube Müdürleri</w:t>
      </w:r>
    </w:p>
    <w:p w:rsidR="0050106F" w:rsidRPr="00F32AF5" w:rsidRDefault="0050106F" w:rsidP="00F74EA9">
      <w:pPr>
        <w:rPr>
          <w:rFonts w:ascii="Times New Roman" w:hAnsi="Times New Roman"/>
          <w:b/>
          <w:sz w:val="24"/>
          <w:szCs w:val="24"/>
        </w:rPr>
      </w:pPr>
    </w:p>
    <w:p w:rsidR="00F74EA9" w:rsidRPr="00F32AF5" w:rsidRDefault="00F74EA9" w:rsidP="00F74EA9">
      <w:pPr>
        <w:rPr>
          <w:rFonts w:ascii="Times New Roman" w:hAnsi="Times New Roman"/>
          <w:b/>
          <w:sz w:val="24"/>
          <w:szCs w:val="24"/>
        </w:rPr>
      </w:pPr>
      <w:r w:rsidRPr="00125B3D">
        <w:rPr>
          <w:rFonts w:ascii="Times New Roman" w:hAnsi="Times New Roman"/>
          <w:b/>
          <w:sz w:val="24"/>
          <w:szCs w:val="24"/>
        </w:rPr>
        <w:t>GÖREV, YETKİ VE SORUMLULUKLARI</w:t>
      </w:r>
      <w:r w:rsidRPr="00F32AF5">
        <w:rPr>
          <w:rFonts w:ascii="Times New Roman" w:hAnsi="Times New Roman"/>
          <w:b/>
          <w:sz w:val="24"/>
          <w:szCs w:val="24"/>
        </w:rPr>
        <w:t xml:space="preserve">: </w:t>
      </w:r>
    </w:p>
    <w:p w:rsidR="00F74EA9" w:rsidRPr="004F0844" w:rsidRDefault="00F74EA9" w:rsidP="00F74EA9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>124 sayılı Yükseköğretim Üst Kuruluşları ile Yükseköğretim Kurumlarının İdari Teşkilatı Hakkınd</w:t>
      </w:r>
      <w:r>
        <w:rPr>
          <w:rFonts w:ascii="Times New Roman" w:hAnsi="Times New Roman"/>
          <w:sz w:val="24"/>
          <w:szCs w:val="24"/>
        </w:rPr>
        <w:t>a Kanun Hükmünde Kararnamenin 32</w:t>
      </w:r>
      <w:r w:rsidRPr="00983120">
        <w:rPr>
          <w:rFonts w:ascii="Times New Roman" w:hAnsi="Times New Roman"/>
          <w:sz w:val="24"/>
          <w:szCs w:val="24"/>
        </w:rPr>
        <w:t xml:space="preserve"> uncu maddesi çerçevesinde;</w:t>
      </w:r>
      <w:r w:rsidRPr="004F0844">
        <w:t xml:space="preserve"> </w:t>
      </w:r>
    </w:p>
    <w:p w:rsidR="00F74EA9" w:rsidRDefault="00F74EA9" w:rsidP="00F74EA9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0844">
        <w:rPr>
          <w:rFonts w:ascii="Times New Roman" w:hAnsi="Times New Roman"/>
          <w:sz w:val="24"/>
          <w:szCs w:val="24"/>
        </w:rPr>
        <w:t>Öğrencilerin ve personelin,</w:t>
      </w:r>
      <w:r w:rsidR="00E13183">
        <w:rPr>
          <w:rFonts w:ascii="Times New Roman" w:hAnsi="Times New Roman"/>
          <w:sz w:val="24"/>
          <w:szCs w:val="24"/>
        </w:rPr>
        <w:t xml:space="preserve"> </w:t>
      </w:r>
      <w:r w:rsidRPr="004F0844">
        <w:rPr>
          <w:rFonts w:ascii="Times New Roman" w:hAnsi="Times New Roman"/>
          <w:sz w:val="24"/>
          <w:szCs w:val="24"/>
        </w:rPr>
        <w:t xml:space="preserve">sağlık işleri ve tedavileri ile ilgili hizmetleri yürütmek, </w:t>
      </w:r>
    </w:p>
    <w:p w:rsidR="00F74EA9" w:rsidRDefault="00F74EA9" w:rsidP="00F74EA9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0844">
        <w:rPr>
          <w:rFonts w:ascii="Times New Roman" w:hAnsi="Times New Roman"/>
          <w:sz w:val="24"/>
          <w:szCs w:val="24"/>
        </w:rPr>
        <w:t xml:space="preserve">Öğrencilerin ve personelin barınma, yemek ve benzeri ihtiyaçlarını karşılamak, </w:t>
      </w:r>
    </w:p>
    <w:p w:rsidR="00E13183" w:rsidRDefault="00E13183" w:rsidP="00E13183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Öğrencilerin ve </w:t>
      </w:r>
      <w:r w:rsidR="00F74EA9" w:rsidRPr="004F0844">
        <w:rPr>
          <w:rFonts w:ascii="Times New Roman" w:hAnsi="Times New Roman"/>
          <w:sz w:val="24"/>
          <w:szCs w:val="24"/>
        </w:rPr>
        <w:t>personelin,</w:t>
      </w:r>
      <w:r>
        <w:rPr>
          <w:rFonts w:ascii="Times New Roman" w:hAnsi="Times New Roman"/>
          <w:sz w:val="24"/>
          <w:szCs w:val="24"/>
        </w:rPr>
        <w:t xml:space="preserve"> </w:t>
      </w:r>
      <w:r w:rsidR="00F74EA9" w:rsidRPr="004F0844">
        <w:rPr>
          <w:rFonts w:ascii="Times New Roman" w:hAnsi="Times New Roman"/>
          <w:sz w:val="24"/>
          <w:szCs w:val="24"/>
        </w:rPr>
        <w:t>spor,</w:t>
      </w:r>
      <w:r>
        <w:rPr>
          <w:rFonts w:ascii="Times New Roman" w:hAnsi="Times New Roman"/>
          <w:sz w:val="24"/>
          <w:szCs w:val="24"/>
        </w:rPr>
        <w:t xml:space="preserve"> </w:t>
      </w:r>
      <w:r w:rsidR="00F74EA9" w:rsidRPr="004F0844">
        <w:rPr>
          <w:rFonts w:ascii="Times New Roman" w:hAnsi="Times New Roman"/>
          <w:sz w:val="24"/>
          <w:szCs w:val="24"/>
        </w:rPr>
        <w:t xml:space="preserve">kültürel ve sosyal ihtiyaçlarını karşılayacak faaliyetleri düzenlemek </w:t>
      </w:r>
    </w:p>
    <w:p w:rsidR="00E13183" w:rsidRPr="00E13183" w:rsidRDefault="00390D89" w:rsidP="00E13183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Öğrencileri </w:t>
      </w:r>
      <w:r w:rsidR="00E13183" w:rsidRPr="00E13183">
        <w:rPr>
          <w:rFonts w:ascii="Times New Roman" w:hAnsi="Times New Roman"/>
          <w:sz w:val="24"/>
          <w:szCs w:val="24"/>
        </w:rPr>
        <w:t>kariyer planlaması çalışmaları yapmasını sağlamak, iş yaşamında karşılaşabilecekleri sorunların çözümüne yönelik</w:t>
      </w:r>
      <w:r w:rsidR="00E13183">
        <w:rPr>
          <w:rFonts w:ascii="Times New Roman" w:hAnsi="Times New Roman"/>
          <w:sz w:val="24"/>
          <w:szCs w:val="24"/>
        </w:rPr>
        <w:t xml:space="preserve"> </w:t>
      </w:r>
      <w:r w:rsidR="00E13183" w:rsidRPr="00E13183">
        <w:rPr>
          <w:rFonts w:ascii="Times New Roman" w:hAnsi="Times New Roman"/>
          <w:sz w:val="24"/>
          <w:szCs w:val="24"/>
        </w:rPr>
        <w:t>bilim</w:t>
      </w:r>
      <w:r w:rsidR="00E13183">
        <w:rPr>
          <w:rFonts w:ascii="Times New Roman" w:hAnsi="Times New Roman"/>
          <w:sz w:val="24"/>
          <w:szCs w:val="24"/>
        </w:rPr>
        <w:t xml:space="preserve">sel çalışmalar yapmak, istihdam </w:t>
      </w:r>
      <w:proofErr w:type="gramStart"/>
      <w:r w:rsidR="00E13183" w:rsidRPr="00E13183">
        <w:rPr>
          <w:rFonts w:ascii="Times New Roman" w:hAnsi="Times New Roman"/>
          <w:sz w:val="24"/>
          <w:szCs w:val="24"/>
        </w:rPr>
        <w:t>imkanlarını</w:t>
      </w:r>
      <w:proofErr w:type="gramEnd"/>
      <w:r w:rsidR="00E13183" w:rsidRPr="00E13183">
        <w:rPr>
          <w:rFonts w:ascii="Times New Roman" w:hAnsi="Times New Roman"/>
          <w:sz w:val="24"/>
          <w:szCs w:val="24"/>
        </w:rPr>
        <w:t xml:space="preserve"> araştırmak amacıyla birimler kurmak ve bu konuda ilgili kuruluşlarla işbirliği yaparak hizmetin en iyi şekilde görülmesini sağlamak</w:t>
      </w:r>
    </w:p>
    <w:p w:rsidR="00E13183" w:rsidRPr="00E13183" w:rsidRDefault="00E13183" w:rsidP="00E13183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3183">
        <w:rPr>
          <w:rFonts w:ascii="Times New Roman" w:hAnsi="Times New Roman"/>
          <w:sz w:val="24"/>
          <w:szCs w:val="24"/>
        </w:rPr>
        <w:t>Üniversite personelinin iş verimliliğini artırmak ve öğrenim gören öğrencilere eğitim sürecinde yardımcı olmak üzere;</w:t>
      </w:r>
      <w:r>
        <w:t xml:space="preserve"> </w:t>
      </w:r>
      <w:r w:rsidRPr="00E13183">
        <w:rPr>
          <w:rFonts w:ascii="Times New Roman" w:hAnsi="Times New Roman"/>
          <w:sz w:val="24"/>
          <w:szCs w:val="24"/>
        </w:rPr>
        <w:t>okul öncesi çağdaki ve okul çağındaki çocuklarının çalışma saatleri içinde bakımları ve eğitimlerine katkıda bulunmak için, kreş, yuva v.b birimler kurmak ve bu hizmetin en iyi şekilde yürütülmesini sağlamak</w:t>
      </w:r>
    </w:p>
    <w:p w:rsidR="00F74EA9" w:rsidRDefault="00F74EA9" w:rsidP="00F74EA9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>Daire Başkanlığının f</w:t>
      </w:r>
      <w:r w:rsidR="00E13183">
        <w:rPr>
          <w:rFonts w:ascii="Times New Roman" w:hAnsi="Times New Roman"/>
          <w:sz w:val="24"/>
          <w:szCs w:val="24"/>
        </w:rPr>
        <w:t xml:space="preserve">aaliyetlerinin ekonomik, etkin </w:t>
      </w:r>
      <w:r w:rsidRPr="00983120">
        <w:rPr>
          <w:rFonts w:ascii="Times New Roman" w:hAnsi="Times New Roman"/>
          <w:sz w:val="24"/>
          <w:szCs w:val="24"/>
        </w:rPr>
        <w:t>ve verimli bir şekilde yerine getirilmesi için insan ve malzeme gibi mevcut kaynakların en uygun şekilde kullanılmasını sağlamak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4EA9" w:rsidRDefault="00F74EA9" w:rsidP="00F74EA9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>Üniversitenin Stratejik planına uygun olarak birim faaliyetlerinin yürütülmesi, yönlendirilmesi ve değerlendirilmesi için, birimine tahsis edilen personel, yer, malzeme ve diğer kaynaklarla Daire Başkanlığına ait stratejik hedefleri belirlemek, faaliyet raporlarını hazırlamak,</w:t>
      </w:r>
    </w:p>
    <w:p w:rsidR="00F74EA9" w:rsidRPr="00F32AF5" w:rsidRDefault="00F74EA9" w:rsidP="00F74EA9">
      <w:pPr>
        <w:numPr>
          <w:ilvl w:val="0"/>
          <w:numId w:val="6"/>
        </w:numPr>
        <w:tabs>
          <w:tab w:val="clear" w:pos="644"/>
          <w:tab w:val="num" w:pos="426"/>
        </w:tabs>
        <w:snapToGri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2AF5">
        <w:rPr>
          <w:rFonts w:ascii="Times New Roman" w:hAnsi="Times New Roman"/>
          <w:sz w:val="24"/>
          <w:szCs w:val="24"/>
        </w:rPr>
        <w:t>Harcama Yetkili</w:t>
      </w:r>
      <w:r>
        <w:rPr>
          <w:rFonts w:ascii="Times New Roman" w:hAnsi="Times New Roman"/>
          <w:sz w:val="24"/>
          <w:szCs w:val="24"/>
        </w:rPr>
        <w:t>liği görevini yürütmek,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İş süreçlerinin güncellenmesi, </w:t>
      </w:r>
      <w:proofErr w:type="spellStart"/>
      <w:r w:rsidRPr="00983120">
        <w:rPr>
          <w:rFonts w:ascii="Times New Roman" w:hAnsi="Times New Roman"/>
          <w:sz w:val="24"/>
          <w:szCs w:val="24"/>
        </w:rPr>
        <w:t>sistematize</w:t>
      </w:r>
      <w:proofErr w:type="spellEnd"/>
      <w:r w:rsidRPr="00983120">
        <w:rPr>
          <w:rFonts w:ascii="Times New Roman" w:hAnsi="Times New Roman"/>
          <w:sz w:val="24"/>
          <w:szCs w:val="24"/>
        </w:rPr>
        <w:t xml:space="preserve"> edilmesi ve otomasyona aktarılması için gerekli çalışmalarda bulunmak,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Daire Başkanlığının faaliyetlerinin etkin bir şekilde uygulanıp, yürütülebilmesi için gereken düzeyde sorumluluk ve yetkiyi astlarına devretmek,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>Daire Başkanlığı personelinin birbirleriyle ve diğer biri</w:t>
      </w:r>
      <w:r w:rsidR="00E13183">
        <w:rPr>
          <w:rFonts w:ascii="Times New Roman" w:hAnsi="Times New Roman"/>
          <w:sz w:val="24"/>
          <w:szCs w:val="24"/>
        </w:rPr>
        <w:t xml:space="preserve">mlerin personeli ile uyumlu ve </w:t>
      </w:r>
      <w:proofErr w:type="gramStart"/>
      <w:r w:rsidRPr="00983120">
        <w:rPr>
          <w:rFonts w:ascii="Times New Roman" w:hAnsi="Times New Roman"/>
          <w:sz w:val="24"/>
          <w:szCs w:val="24"/>
        </w:rPr>
        <w:t>işbirliği  içinde</w:t>
      </w:r>
      <w:proofErr w:type="gramEnd"/>
      <w:r w:rsidRPr="00983120">
        <w:rPr>
          <w:rFonts w:ascii="Times New Roman" w:hAnsi="Times New Roman"/>
          <w:sz w:val="24"/>
          <w:szCs w:val="24"/>
        </w:rPr>
        <w:t xml:space="preserve"> çalışmasını sağlayacak düzeni oluşturmak, 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Alt birimlerinden kendisine iletilen personel hareketlerine ilişkin önerileri incelenmek, değerlendirmek üzere üst yönetime öneride bulunmak,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lastRenderedPageBreak/>
        <w:t xml:space="preserve">Biriminde çalışan personelin görev dağılımını; personelin uzmanlık alanları, deneyimleri, tercihleri ve verimliliklerini gözeterek mümkün olduğu kadar adil ve etkin bir şekilde gerçekleştirmek, 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Daire Başkanlığına havale edilen iş ve evrakların birimlere havalesini </w:t>
      </w:r>
      <w:proofErr w:type="gramStart"/>
      <w:r w:rsidRPr="00983120">
        <w:rPr>
          <w:rFonts w:ascii="Times New Roman" w:hAnsi="Times New Roman"/>
          <w:sz w:val="24"/>
          <w:szCs w:val="24"/>
        </w:rPr>
        <w:t>yapmak  ve</w:t>
      </w:r>
      <w:proofErr w:type="gramEnd"/>
      <w:r w:rsidRPr="00983120">
        <w:rPr>
          <w:rFonts w:ascii="Times New Roman" w:hAnsi="Times New Roman"/>
          <w:sz w:val="24"/>
          <w:szCs w:val="24"/>
        </w:rPr>
        <w:t xml:space="preserve"> sonuçlandırılmasını sağlamak,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Daire Başkanlığında görevli personeli motive etmek, disipline aykırı davranışlarının olması durumunda ilgili mevzuatı çerçevesinde gerekli işlemleri yapmak,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Kalite Geliştirme Ekibinin faaliyetlerini değerlendirmek, iyileştirme ve geliştirme önerilerinde bulunmak, </w:t>
      </w:r>
    </w:p>
    <w:p w:rsidR="00F74EA9" w:rsidRPr="00983120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 xml:space="preserve">Birimin işlerinin tespit edilmiş kalite, miktar ve zaman standartları çerçevesinde ve kanunlara uygun olarak eksiksiz ve doğru olarak gerçekleştirilmesini sağlamak üzere, bağlı personeli denetlemek, </w:t>
      </w:r>
    </w:p>
    <w:p w:rsidR="00F74EA9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3120">
        <w:rPr>
          <w:rFonts w:ascii="Times New Roman" w:hAnsi="Times New Roman"/>
          <w:sz w:val="24"/>
          <w:szCs w:val="24"/>
        </w:rPr>
        <w:t>Biriminde çalışan personelin mesleki açıdan yetiştirilmesi için gerekli ortamı sağlamak,</w:t>
      </w:r>
    </w:p>
    <w:p w:rsidR="00F74EA9" w:rsidRPr="00B56987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87">
        <w:rPr>
          <w:rFonts w:ascii="Times New Roman" w:hAnsi="Times New Roman"/>
          <w:sz w:val="24"/>
          <w:szCs w:val="24"/>
        </w:rPr>
        <w:t>Biriminde oluşan tüm kalite kayıtlarının uygun şekilde dosyalanmasını, korunmasını ve bakımının yapılmasını sağlamak.</w:t>
      </w:r>
      <w:proofErr w:type="gramEnd"/>
    </w:p>
    <w:p w:rsidR="00F74EA9" w:rsidRPr="00B56987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6987">
        <w:rPr>
          <w:rFonts w:ascii="Times New Roman" w:hAnsi="Times New Roman"/>
          <w:sz w:val="24"/>
          <w:szCs w:val="24"/>
        </w:rPr>
        <w:t xml:space="preserve">Gerekli olduğu </w:t>
      </w:r>
      <w:proofErr w:type="gramStart"/>
      <w:r w:rsidRPr="00B56987">
        <w:rPr>
          <w:rFonts w:ascii="Times New Roman" w:hAnsi="Times New Roman"/>
          <w:sz w:val="24"/>
          <w:szCs w:val="24"/>
        </w:rPr>
        <w:t>taktirde</w:t>
      </w:r>
      <w:proofErr w:type="gramEnd"/>
      <w:r w:rsidRPr="00B56987">
        <w:rPr>
          <w:rFonts w:ascii="Times New Roman" w:hAnsi="Times New Roman"/>
          <w:sz w:val="24"/>
          <w:szCs w:val="24"/>
        </w:rPr>
        <w:t xml:space="preserve"> birimi ile ilgili ISO 9000:2008 prosedürlerinin (içeriğinde talimat ve formların) değişikliği ile ilgili/yeni doküman oluşturmakla ilgili talepte bulunmak, bu dokümanların güncelliğini korumasını sağlamak.</w:t>
      </w:r>
    </w:p>
    <w:p w:rsidR="00F74EA9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6987">
        <w:rPr>
          <w:rFonts w:ascii="Times New Roman" w:hAnsi="Times New Roman"/>
          <w:sz w:val="24"/>
          <w:szCs w:val="24"/>
        </w:rPr>
        <w:t xml:space="preserve">Tüm çalışmalarını görev tanımlarına ve ISO 9001:2008 Kalite Güvence Sistemi </w:t>
      </w:r>
      <w:proofErr w:type="gramStart"/>
      <w:r w:rsidRPr="00B56987">
        <w:rPr>
          <w:rFonts w:ascii="Times New Roman" w:hAnsi="Times New Roman"/>
          <w:sz w:val="24"/>
          <w:szCs w:val="24"/>
        </w:rPr>
        <w:t>prosedürlerine</w:t>
      </w:r>
      <w:proofErr w:type="gramEnd"/>
      <w:r w:rsidRPr="00B56987">
        <w:rPr>
          <w:rFonts w:ascii="Times New Roman" w:hAnsi="Times New Roman"/>
          <w:sz w:val="24"/>
          <w:szCs w:val="24"/>
        </w:rPr>
        <w:t xml:space="preserve"> uygun olarak gerçekleştirmek, birimindeki tüm personelin de aynı prensiple görev yapmasını sağlamak ve uygulamaları denetlemek.</w:t>
      </w:r>
    </w:p>
    <w:p w:rsidR="00F74EA9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6987">
        <w:rPr>
          <w:rFonts w:ascii="Times New Roman" w:hAnsi="Times New Roman"/>
          <w:sz w:val="24"/>
          <w:szCs w:val="24"/>
        </w:rPr>
        <w:t>Verilecek diğer benzeri görevleri yapmak.</w:t>
      </w:r>
    </w:p>
    <w:p w:rsidR="00F74EA9" w:rsidRPr="00B56987" w:rsidRDefault="00F74EA9" w:rsidP="00F74EA9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6987">
        <w:rPr>
          <w:rFonts w:ascii="Times New Roman" w:hAnsi="Times New Roman"/>
          <w:sz w:val="24"/>
          <w:szCs w:val="24"/>
        </w:rPr>
        <w:t>SKS Daire Başkanı görevlerinden dolayı Genel Sekretere karşı sorumludur.</w:t>
      </w:r>
    </w:p>
    <w:p w:rsidR="00F74EA9" w:rsidRPr="00F32AF5" w:rsidRDefault="00F74EA9" w:rsidP="00F74EA9">
      <w:pPr>
        <w:rPr>
          <w:rFonts w:ascii="Times New Roman" w:hAnsi="Times New Roman"/>
          <w:sz w:val="24"/>
          <w:szCs w:val="24"/>
        </w:rPr>
      </w:pPr>
    </w:p>
    <w:p w:rsidR="00F74EA9" w:rsidRDefault="00F74EA9" w:rsidP="00F74E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GÖREVİN GEREKTİRDİĞİ NİTELİKLER</w:t>
      </w:r>
      <w:r w:rsidRPr="00F32AF5">
        <w:rPr>
          <w:rFonts w:ascii="Times New Roman" w:hAnsi="Times New Roman"/>
          <w:b/>
          <w:sz w:val="24"/>
          <w:szCs w:val="24"/>
        </w:rPr>
        <w:t xml:space="preserve">: </w:t>
      </w:r>
    </w:p>
    <w:p w:rsidR="00F74EA9" w:rsidRDefault="00F74EA9" w:rsidP="00F74EA9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32AF5">
        <w:rPr>
          <w:rFonts w:ascii="Times New Roman" w:hAnsi="Times New Roman"/>
          <w:sz w:val="24"/>
          <w:szCs w:val="24"/>
        </w:rPr>
        <w:t>En az 4 yıllık Lisans mezunu olmak.</w:t>
      </w:r>
    </w:p>
    <w:p w:rsidR="00F74EA9" w:rsidRPr="000B3550" w:rsidRDefault="00F74EA9" w:rsidP="00F74EA9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F3DA0">
        <w:rPr>
          <w:rFonts w:ascii="Times New Roman" w:hAnsi="Times New Roman"/>
          <w:sz w:val="24"/>
          <w:szCs w:val="24"/>
        </w:rPr>
        <w:t>657 sayılı Devlet Memurları Kanununun 68 inci maddesinin (B) bendinde belirtilen şartları taşımak.</w:t>
      </w:r>
    </w:p>
    <w:sectPr w:rsidR="00F74EA9" w:rsidRPr="000B3550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A0" w:rsidRDefault="00A95CA0" w:rsidP="00151E02">
      <w:pPr>
        <w:spacing w:after="0" w:line="240" w:lineRule="auto"/>
      </w:pPr>
      <w:r>
        <w:separator/>
      </w:r>
    </w:p>
  </w:endnote>
  <w:endnote w:type="continuationSeparator" w:id="0">
    <w:p w:rsidR="00A95CA0" w:rsidRDefault="00A95CA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9" w:rsidRDefault="002C52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BE0774" w:rsidRPr="00AE6D38" w:rsidTr="00AE6D38">
      <w:tc>
        <w:tcPr>
          <w:tcW w:w="3259" w:type="dxa"/>
          <w:shd w:val="clear" w:color="auto" w:fill="auto"/>
        </w:tcPr>
        <w:p w:rsidR="00BE0774" w:rsidRPr="00A22E0A" w:rsidRDefault="00BE0774" w:rsidP="000B196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E0774" w:rsidRPr="00A22E0A" w:rsidRDefault="00BE0774" w:rsidP="000B196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BE0774" w:rsidRPr="00A22E0A" w:rsidRDefault="00BE0774" w:rsidP="000B196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BE0774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BE0774" w:rsidRDefault="00BE0774" w:rsidP="000B196D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BE0774" w:rsidRPr="00A22E0A" w:rsidRDefault="00BE0774" w:rsidP="000B196D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BE0774" w:rsidRDefault="00BE0774" w:rsidP="000B196D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BE0774" w:rsidRPr="00A22E0A" w:rsidRDefault="00BE0774" w:rsidP="000B196D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BE0774" w:rsidRDefault="00BE0774" w:rsidP="000B196D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BE0774" w:rsidRPr="00A22E0A" w:rsidRDefault="00BE0774" w:rsidP="000B196D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BE0774">
    <w:pPr>
      <w:pStyle w:val="Altbilgi"/>
    </w:pPr>
    <w:r>
      <w:rPr>
        <w:rFonts w:cs="Arial"/>
        <w:i/>
        <w:sz w:val="16"/>
      </w:rPr>
      <w:t xml:space="preserve">(Form No: </w:t>
    </w:r>
    <w:proofErr w:type="gramStart"/>
    <w:r w:rsidR="00BE0774">
      <w:rPr>
        <w:rFonts w:cs="Arial"/>
        <w:i/>
        <w:sz w:val="16"/>
      </w:rPr>
      <w:t>SİÜ.GT</w:t>
    </w:r>
    <w:proofErr w:type="gramEnd"/>
    <w:r w:rsidR="00BE0774">
      <w:rPr>
        <w:rFonts w:cs="Arial"/>
        <w:i/>
        <w:sz w:val="16"/>
      </w:rPr>
      <w:t>-031</w:t>
    </w:r>
    <w:r w:rsidR="00BD2784">
      <w:rPr>
        <w:rFonts w:cs="Arial"/>
        <w:i/>
        <w:sz w:val="16"/>
      </w:rPr>
      <w:t xml:space="preserve">; </w:t>
    </w:r>
    <w:r w:rsidR="00BE0774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BE0774">
      <w:rPr>
        <w:rFonts w:cs="Arial"/>
        <w:i/>
        <w:sz w:val="16"/>
      </w:rPr>
      <w:t xml:space="preserve">        </w:t>
    </w:r>
    <w:r w:rsidR="00BD2784">
      <w:rPr>
        <w:rFonts w:cs="Arial"/>
        <w:i/>
        <w:sz w:val="16"/>
      </w:rPr>
      <w:t xml:space="preserve">; </w:t>
    </w:r>
    <w:r w:rsidR="00BE0774">
      <w:rPr>
        <w:rFonts w:cs="Arial"/>
        <w:i/>
        <w:sz w:val="16"/>
      </w:rPr>
      <w:t xml:space="preserve"> </w:t>
    </w:r>
    <w:r w:rsidR="00BE0774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No:0</w:t>
    </w:r>
    <w:r w:rsidR="00BE0774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9" w:rsidRDefault="002C52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A0" w:rsidRDefault="00A95CA0" w:rsidP="00151E02">
      <w:pPr>
        <w:spacing w:after="0" w:line="240" w:lineRule="auto"/>
      </w:pPr>
      <w:r>
        <w:separator/>
      </w:r>
    </w:p>
  </w:footnote>
  <w:footnote w:type="continuationSeparator" w:id="0">
    <w:p w:rsidR="00A95CA0" w:rsidRDefault="00A95CA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9" w:rsidRDefault="002C52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28784D" w:rsidRPr="00AE6D38" w:rsidTr="002E0992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28784D" w:rsidRPr="00AE6D38" w:rsidRDefault="00B52649" w:rsidP="0028784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28784D" w:rsidRPr="00C74ED0" w:rsidRDefault="0028784D" w:rsidP="0028784D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SAĞLIK KÜLTÜR VE SPOR DAİRE BAŞKANI</w:t>
          </w:r>
        </w:p>
      </w:tc>
      <w:tc>
        <w:tcPr>
          <w:tcW w:w="1560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28784D" w:rsidRPr="00AE6D38" w:rsidRDefault="00BE0774" w:rsidP="0028784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28784D">
            <w:rPr>
              <w:rFonts w:ascii="Arial" w:hAnsi="Arial" w:cs="Arial"/>
              <w:b/>
              <w:sz w:val="18"/>
            </w:rPr>
            <w:t>GT</w:t>
          </w:r>
          <w:proofErr w:type="gramEnd"/>
          <w:r w:rsidR="0028784D">
            <w:rPr>
              <w:rFonts w:ascii="Arial" w:hAnsi="Arial" w:cs="Arial"/>
              <w:b/>
              <w:sz w:val="18"/>
            </w:rPr>
            <w:t>-031</w:t>
          </w:r>
        </w:p>
      </w:tc>
    </w:tr>
    <w:tr w:rsidR="0028784D" w:rsidRPr="00AE6D38" w:rsidTr="002E099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28784D" w:rsidRPr="00AE6D38" w:rsidRDefault="00B50092" w:rsidP="0028784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BE0774">
            <w:rPr>
              <w:rFonts w:ascii="Arial" w:hAnsi="Arial" w:cs="Arial"/>
              <w:b/>
              <w:sz w:val="18"/>
            </w:rPr>
            <w:t>.2018</w:t>
          </w:r>
        </w:p>
      </w:tc>
    </w:tr>
    <w:tr w:rsidR="0028784D" w:rsidRPr="00AE6D38" w:rsidTr="002E099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8784D" w:rsidRPr="00AE6D38" w:rsidTr="002E099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8784D" w:rsidRPr="00AE6D38" w:rsidTr="002E099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8784D" w:rsidRPr="00AE6D38" w:rsidRDefault="0028784D" w:rsidP="0028784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28784D" w:rsidRPr="00AE6D38" w:rsidRDefault="00CD388D" w:rsidP="0028784D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28784D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B50092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28784D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B50092" w:rsidRPr="00B50092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28784D" w:rsidRDefault="0028784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49" w:rsidRDefault="002C524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1457C"/>
    <w:rsid w:val="00062BC5"/>
    <w:rsid w:val="000B196D"/>
    <w:rsid w:val="000B2993"/>
    <w:rsid w:val="000C1161"/>
    <w:rsid w:val="000E70BE"/>
    <w:rsid w:val="000F7091"/>
    <w:rsid w:val="001009F7"/>
    <w:rsid w:val="00151E02"/>
    <w:rsid w:val="002503E9"/>
    <w:rsid w:val="00262B95"/>
    <w:rsid w:val="00267AC4"/>
    <w:rsid w:val="0028784D"/>
    <w:rsid w:val="002C1893"/>
    <w:rsid w:val="002C5249"/>
    <w:rsid w:val="002C7EC5"/>
    <w:rsid w:val="002E0992"/>
    <w:rsid w:val="00326DD5"/>
    <w:rsid w:val="0034303E"/>
    <w:rsid w:val="0034679A"/>
    <w:rsid w:val="00390D89"/>
    <w:rsid w:val="003E77D5"/>
    <w:rsid w:val="004521E3"/>
    <w:rsid w:val="00453A01"/>
    <w:rsid w:val="0049687B"/>
    <w:rsid w:val="0050106F"/>
    <w:rsid w:val="00525A21"/>
    <w:rsid w:val="0053762F"/>
    <w:rsid w:val="00551052"/>
    <w:rsid w:val="005C555C"/>
    <w:rsid w:val="005D07C6"/>
    <w:rsid w:val="005E7D89"/>
    <w:rsid w:val="00666341"/>
    <w:rsid w:val="0071179B"/>
    <w:rsid w:val="00774840"/>
    <w:rsid w:val="007E1FF0"/>
    <w:rsid w:val="00807FBE"/>
    <w:rsid w:val="0087436B"/>
    <w:rsid w:val="008C01B0"/>
    <w:rsid w:val="008D4595"/>
    <w:rsid w:val="008F1AFB"/>
    <w:rsid w:val="0090742B"/>
    <w:rsid w:val="009C5E5E"/>
    <w:rsid w:val="00A51B1C"/>
    <w:rsid w:val="00A71FF2"/>
    <w:rsid w:val="00A95CA0"/>
    <w:rsid w:val="00AC7266"/>
    <w:rsid w:val="00AE6D38"/>
    <w:rsid w:val="00B23DA0"/>
    <w:rsid w:val="00B50092"/>
    <w:rsid w:val="00B52649"/>
    <w:rsid w:val="00B631A7"/>
    <w:rsid w:val="00BD17A1"/>
    <w:rsid w:val="00BD2784"/>
    <w:rsid w:val="00BE0774"/>
    <w:rsid w:val="00C03F08"/>
    <w:rsid w:val="00C1454E"/>
    <w:rsid w:val="00C40CC8"/>
    <w:rsid w:val="00C709D1"/>
    <w:rsid w:val="00C74ED0"/>
    <w:rsid w:val="00CD388D"/>
    <w:rsid w:val="00D13FF3"/>
    <w:rsid w:val="00E13183"/>
    <w:rsid w:val="00EA2764"/>
    <w:rsid w:val="00EB23F2"/>
    <w:rsid w:val="00ED31CE"/>
    <w:rsid w:val="00F07950"/>
    <w:rsid w:val="00F633FA"/>
    <w:rsid w:val="00F74EA9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4</cp:revision>
  <cp:lastPrinted>2015-05-26T13:18:00Z</cp:lastPrinted>
  <dcterms:created xsi:type="dcterms:W3CDTF">2018-10-05T08:39:00Z</dcterms:created>
  <dcterms:modified xsi:type="dcterms:W3CDTF">2018-10-05T08:47:00Z</dcterms:modified>
</cp:coreProperties>
</file>